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C69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C6992" w:rsidRDefault="0004022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C6992" w:rsidRDefault="0004022C">
            <w:pPr>
              <w:spacing w:after="0" w:line="240" w:lineRule="auto"/>
            </w:pPr>
            <w:r>
              <w:t>10879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C6992" w:rsidRDefault="0004022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C6992" w:rsidRDefault="0004022C">
            <w:pPr>
              <w:spacing w:after="0" w:line="240" w:lineRule="auto"/>
            </w:pPr>
            <w:r>
              <w:t>PUČKO OTVORENO UČILIŠTE POREČ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C6992" w:rsidRDefault="0004022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C6992" w:rsidRDefault="0004022C">
            <w:pPr>
              <w:spacing w:after="0" w:line="240" w:lineRule="auto"/>
            </w:pPr>
            <w:r>
              <w:t>21</w:t>
            </w:r>
          </w:p>
        </w:tc>
      </w:tr>
    </w:tbl>
    <w:p w:rsidR="00DC6992" w:rsidRDefault="0004022C">
      <w:r>
        <w:br/>
      </w:r>
    </w:p>
    <w:p w:rsidR="00DC6992" w:rsidRDefault="0004022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C6992" w:rsidRDefault="0004022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C6992" w:rsidRDefault="0004022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C6992" w:rsidRDefault="00DC6992"/>
    <w:p w:rsidR="00DC6992" w:rsidRDefault="0004022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C6992" w:rsidRDefault="0004022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6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1.017.996,08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1.024.232,48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100,6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998.026,65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975.556,71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97,7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DC69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19.969,43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48.675,77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243,8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23.679,50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10.410,40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44,0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DC69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23.679,50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10.410,40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44,0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DC69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DC69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38.265,37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C6992" w:rsidRDefault="00DC6992">
      <w:pPr>
        <w:spacing w:after="0"/>
      </w:pPr>
    </w:p>
    <w:p w:rsidR="00DC6992" w:rsidRDefault="0004022C">
      <w:r>
        <w:t>U razdoblju od 1. siječnja do 31. prosinca 2025.g. prihodi poslovanja ostvareni su u iznosu od 1.024.232,48 EUR. Najznačajnije povećanje prihoda poslovanja ostvareno je od prihoda iz nadležnog proračuna za financiranje rashoda poslovanja, dok je najznačajn</w:t>
      </w:r>
      <w:r>
        <w:t>ije smanjenje prihoda poslovanja ostvareno od tekućih pomoći temeljem prijenosa EU sredstava koji u ovom razdoblju nisu ostvareni, kapitalnih pomoći proračunskim korisnicima iz proračuna koji im nije nadležan, te od tekućih pomoći od izvanproračunskih kori</w:t>
      </w:r>
      <w:r>
        <w:t>snika  - HZZ, a radi manjeg broja polaznika tečajeva financiranih preko vaučera HZZ-a.</w:t>
      </w:r>
    </w:p>
    <w:p w:rsidR="00DC6992" w:rsidRDefault="0004022C">
      <w:r>
        <w:lastRenderedPageBreak/>
        <w:t>Rashodi poslovanja u razdoblju od 1. siječnja do 31. prosinca 2025.g. ostvareni su u iznosu od 975.556,71 EUR. Najznačajnije povećanje rashoda evidentirano je na rashodi</w:t>
      </w:r>
      <w:r>
        <w:t xml:space="preserve">ma službene, radne i zaštitne odjeće, komunalne usluge radi puknuća vodovodne cijevi, i stručno usavršavanje zaposlenika radi edukacije novog kinooperatera, i seminara za odjel računovodstva. Najznačajnije smanjenje rashoda evidentirano je na subvencijama </w:t>
      </w:r>
      <w:r>
        <w:t>trgovačkim društvima, zadrugama, poljoprivrednicima i obrtnicima iz EU kojih u ovom izvještajnom razdoblju nije bilo, na tekućim donacijama iz EU sredstava kojih u ovom izvještajnom razdoblju također nije bilo, sitnom inventaru, ostalim rashodima za zaposl</w:t>
      </w:r>
      <w:r>
        <w:t>ene radi otpremnine u prethodnom izvještajnom razdoblju, rashodima službenih putovanja, te uslugama promidžbe i informiranja radi pojačanog oglašavanja u prethodnom razdoblju.</w:t>
      </w:r>
    </w:p>
    <w:p w:rsidR="00DC6992" w:rsidRDefault="0004022C">
      <w:r>
        <w:t xml:space="preserve">U navedenom razdoblju nema ostvarenih prihoda od prodaje nefinancijske imovine, </w:t>
      </w:r>
      <w:r>
        <w:t xml:space="preserve">dok su rashodi za nabavu nefinancijske imovine ostvareni u iznosu od 10.410,40 EUR.  Navedeni rashod odnosi se na prijenosni klima uređaj, obnovu zastarjelih računala i monitora, arhivski ormar, usisavač, </w:t>
      </w:r>
      <w:proofErr w:type="spellStart"/>
      <w:r>
        <w:t>nivel</w:t>
      </w:r>
      <w:proofErr w:type="spellEnd"/>
      <w:r>
        <w:t xml:space="preserve"> laser, kutnu brusilicu i ručna kolica.</w:t>
      </w:r>
    </w:p>
    <w:p w:rsidR="00DC6992" w:rsidRDefault="0004022C">
      <w:r>
        <w:t>U nave</w:t>
      </w:r>
      <w:r>
        <w:t>denom razdoblju nije bilo ostvarenih primitaka i izdataka od financijske imovine i zaduživanja.</w:t>
      </w:r>
    </w:p>
    <w:p w:rsidR="00DC6992" w:rsidRDefault="0004022C">
      <w:r>
        <w:t>U razdoblju od 1. siječnja do 31. prosinca 2025.g. ostvaren je višak poslovanja u iznosu od 48.675,77 EUR, te manjak prihoda od nefinancijske imovine u iznosu o</w:t>
      </w:r>
      <w:r>
        <w:t>d 10.410,40 EUR, slijedom čega je na kraju izvještajnog razdoblja ostvaren višak prihoda u iznosu od 38.265,37 EUR. </w:t>
      </w:r>
    </w:p>
    <w:p w:rsidR="00DC6992" w:rsidRDefault="0004022C">
      <w:r>
        <w:br/>
      </w:r>
    </w:p>
    <w:p w:rsidR="00DC6992" w:rsidRDefault="0004022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C6992" w:rsidRDefault="0004022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C69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69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DC69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6992" w:rsidRDefault="000402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6992" w:rsidRDefault="00DC6992">
      <w:pPr>
        <w:spacing w:after="0"/>
      </w:pPr>
    </w:p>
    <w:p w:rsidR="00DC6992" w:rsidRDefault="0004022C">
      <w:r>
        <w:t xml:space="preserve">U razdoblju od 1. siječnja do 31. prosinca 2025.g. stanje dospjelih obveza na kraju izvještajnog razdoblja iznosi 320,50 EUR, a odnosi se na dva dospjela računa čije </w:t>
      </w:r>
      <w:proofErr w:type="spellStart"/>
      <w:r>
        <w:t>dospjeće</w:t>
      </w:r>
      <w:proofErr w:type="spellEnd"/>
      <w:r>
        <w:t xml:space="preserve"> je 22.12.2025. i 31.12. 2025. Plaćeni su u siječnju 2026.g.</w:t>
      </w:r>
    </w:p>
    <w:p w:rsidR="00DC6992" w:rsidRDefault="00DC6992"/>
    <w:sectPr w:rsidR="00DC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92"/>
    <w:rsid w:val="0004022C"/>
    <w:rsid w:val="00D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7ADAD-C2E2-4D28-B7CD-4EDDCEF5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Pilato</dc:creator>
  <cp:lastModifiedBy>Kristina Pilato</cp:lastModifiedBy>
  <cp:revision>2</cp:revision>
  <cp:lastPrinted>2026-02-02T11:49:00Z</cp:lastPrinted>
  <dcterms:created xsi:type="dcterms:W3CDTF">2026-02-02T11:49:00Z</dcterms:created>
  <dcterms:modified xsi:type="dcterms:W3CDTF">2026-02-02T11:49:00Z</dcterms:modified>
</cp:coreProperties>
</file>